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43" w:rsidRDefault="00575343" w:rsidP="009E18DD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BC382B">
        <w:rPr>
          <w:rFonts w:ascii="Arial" w:hAnsi="Arial" w:cs="Arial"/>
          <w:sz w:val="24"/>
          <w:szCs w:val="24"/>
          <w:lang w:val="bg-BG"/>
        </w:rPr>
        <w:t xml:space="preserve"> </w:t>
      </w:r>
      <w:r w:rsidR="0087616B">
        <w:rPr>
          <w:rFonts w:ascii="Arial" w:hAnsi="Arial" w:cs="Arial"/>
          <w:sz w:val="24"/>
          <w:szCs w:val="24"/>
          <w:lang w:val="bg-BG"/>
        </w:rPr>
        <w:t>8 / 05.10</w:t>
      </w:r>
      <w:r w:rsidR="007F4180">
        <w:rPr>
          <w:rFonts w:ascii="Arial" w:hAnsi="Arial" w:cs="Arial"/>
          <w:sz w:val="24"/>
          <w:szCs w:val="24"/>
          <w:lang w:val="bg-BG"/>
        </w:rPr>
        <w:t>.2022 г.</w:t>
      </w:r>
    </w:p>
    <w:p w:rsidR="00575343" w:rsidRDefault="00575343" w:rsidP="00575343">
      <w:pPr>
        <w:rPr>
          <w:lang w:val="bg-BG"/>
        </w:rPr>
      </w:pPr>
    </w:p>
    <w:p w:rsidR="00700E94" w:rsidRDefault="00700E94" w:rsidP="00575343">
      <w:pPr>
        <w:rPr>
          <w:lang w:val="bg-BG"/>
        </w:rPr>
      </w:pPr>
    </w:p>
    <w:p w:rsidR="004A2373" w:rsidRPr="00D00033" w:rsidRDefault="004C7B70" w:rsidP="00D0003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Днес  </w:t>
      </w:r>
      <w:r w:rsidR="0087616B">
        <w:rPr>
          <w:rFonts w:ascii="Arial" w:hAnsi="Arial" w:cs="Arial"/>
          <w:sz w:val="24"/>
          <w:szCs w:val="24"/>
          <w:lang w:val="bg-BG"/>
        </w:rPr>
        <w:t>05.10.2022 г</w:t>
      </w:r>
      <w:r w:rsidR="00C70B70" w:rsidRPr="00D00033">
        <w:rPr>
          <w:rFonts w:ascii="Arial" w:hAnsi="Arial" w:cs="Arial"/>
          <w:sz w:val="24"/>
          <w:szCs w:val="24"/>
          <w:lang w:val="bg-BG"/>
        </w:rPr>
        <w:t>. в гр. Поморие се състоя заседание на ОИК гр. Поморие, конституирана с Решение №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</w:t>
      </w:r>
      <w:r w:rsidR="006E5EDF" w:rsidRPr="00D00033">
        <w:rPr>
          <w:rFonts w:ascii="Arial" w:hAnsi="Arial" w:cs="Arial"/>
          <w:sz w:val="24"/>
          <w:szCs w:val="24"/>
          <w:shd w:val="clear" w:color="auto" w:fill="FFFFFF"/>
        </w:rPr>
        <w:t>1403-МИ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София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,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09.09.2022 г. на ЦИК, състав:</w:t>
      </w:r>
    </w:p>
    <w:p w:rsidR="006E5EDF" w:rsidRPr="00D00033" w:rsidRDefault="006E5EDF" w:rsidP="00575343">
      <w:pPr>
        <w:rPr>
          <w:rFonts w:ascii="Arial" w:hAnsi="Arial" w:cs="Arial"/>
          <w:sz w:val="24"/>
          <w:szCs w:val="24"/>
          <w:lang w:val="bg-BG"/>
        </w:rPr>
      </w:pP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председател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Натали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Христова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Широкова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Кольо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Георгиев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Николов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- секретар</w:t>
      </w:r>
    </w:p>
    <w:p w:rsidR="00575343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Теодора Захариева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Захариева</w:t>
      </w:r>
      <w:proofErr w:type="spellEnd"/>
      <w:r w:rsidR="00575343" w:rsidRPr="00D00033">
        <w:rPr>
          <w:rFonts w:ascii="Arial" w:hAnsi="Arial" w:cs="Arial"/>
          <w:sz w:val="24"/>
          <w:szCs w:val="24"/>
          <w:lang w:val="bg-BG"/>
        </w:rPr>
        <w:t>- член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Елена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Николова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Коева – член 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Костов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 Стаматов – член 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Александър Кръстанов – член 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Мариана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Борисова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Димитрова – член </w:t>
      </w:r>
    </w:p>
    <w:p w:rsidR="00575343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:rsidR="008E22DF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</w:t>
      </w:r>
      <w:r w:rsidR="008E22DF"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</w:p>
    <w:p w:rsidR="0057534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се състоя заседание на ОИК при следния дневен ред:</w:t>
      </w:r>
    </w:p>
    <w:p w:rsidR="00194E76" w:rsidRPr="00D00033" w:rsidRDefault="00194E76" w:rsidP="00575343">
      <w:pPr>
        <w:rPr>
          <w:rFonts w:ascii="Arial" w:hAnsi="Arial" w:cs="Arial"/>
          <w:sz w:val="24"/>
          <w:szCs w:val="24"/>
          <w:lang w:val="bg-BG"/>
        </w:rPr>
      </w:pPr>
    </w:p>
    <w:p w:rsidR="0087616B" w:rsidRPr="0087616B" w:rsidRDefault="00194E76" w:rsidP="0087616B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Утвърждаване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образци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бюлетини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провеждане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частични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избори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Порой</w:t>
      </w:r>
      <w:proofErr w:type="spellEnd"/>
      <w:proofErr w:type="gram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23 </w:t>
      </w:r>
      <w:proofErr w:type="spellStart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октомври</w:t>
      </w:r>
      <w:proofErr w:type="spellEnd"/>
      <w:r w:rsidR="0087616B"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2022 г.</w:t>
      </w:r>
    </w:p>
    <w:p w:rsidR="004C7B70" w:rsidRPr="00CC6BAE" w:rsidRDefault="0087616B" w:rsidP="00CC6BAE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основание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</w:t>
      </w:r>
      <w:proofErr w:type="gram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87</w:t>
      </w:r>
      <w:proofErr w:type="gram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ал.1, т.9 и чл.420 и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сл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</w:t>
      </w:r>
      <w:proofErr w:type="spellStart"/>
      <w:proofErr w:type="gram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proofErr w:type="gram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Изборния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кодекс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предвид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№ 993-МИ/07.09.2019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год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и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№ 1823- МИ/ 09.06.2020 г.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Централната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избирателна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комисия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относно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осъществяване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контрол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ЦИК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отпечатването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хартиените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бюлетини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произвеждане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частични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Порой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23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октомври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2022 г.,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Общинска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избирателна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комисия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Поморие</w:t>
      </w:r>
      <w:proofErr w:type="spellEnd"/>
    </w:p>
    <w:p w:rsidR="00331FD9" w:rsidRPr="0087616B" w:rsidRDefault="000474FB" w:rsidP="00876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lastRenderedPageBreak/>
        <w:t xml:space="preserve">    </w:t>
      </w:r>
    </w:p>
    <w:p w:rsidR="00016505" w:rsidRPr="00D00033" w:rsidRDefault="00016505" w:rsidP="00194E76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39B2">
        <w:rPr>
          <w:rFonts w:ascii="Arial" w:hAnsi="Arial" w:cs="Arial"/>
          <w:sz w:val="24"/>
          <w:szCs w:val="24"/>
        </w:rPr>
        <w:t>Н</w:t>
      </w:r>
      <w:r w:rsidR="0087616B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87616B">
        <w:rPr>
          <w:rFonts w:ascii="Arial" w:hAnsi="Arial" w:cs="Arial"/>
          <w:sz w:val="24"/>
          <w:szCs w:val="24"/>
        </w:rPr>
        <w:t>осн</w:t>
      </w:r>
      <w:proofErr w:type="spellEnd"/>
      <w:r w:rsidR="0087616B">
        <w:rPr>
          <w:rFonts w:ascii="Arial" w:hAnsi="Arial" w:cs="Arial"/>
          <w:sz w:val="24"/>
          <w:szCs w:val="24"/>
        </w:rPr>
        <w:t xml:space="preserve">. чл.87 от </w:t>
      </w:r>
      <w:r w:rsidRPr="00D00033">
        <w:rPr>
          <w:rFonts w:ascii="Arial" w:hAnsi="Arial" w:cs="Arial"/>
          <w:sz w:val="24"/>
          <w:szCs w:val="24"/>
        </w:rPr>
        <w:t>ИК Общинска избирателна комисия</w:t>
      </w:r>
      <w:r w:rsidR="0087616B">
        <w:rPr>
          <w:rFonts w:ascii="Arial" w:hAnsi="Arial" w:cs="Arial"/>
          <w:sz w:val="24"/>
          <w:szCs w:val="24"/>
        </w:rPr>
        <w:t>:</w:t>
      </w:r>
    </w:p>
    <w:p w:rsidR="00016505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16505" w:rsidRDefault="00016505" w:rsidP="00016505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616B" w:rsidRPr="00857F57" w:rsidRDefault="00647501" w:rsidP="00876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:rsidR="0087616B" w:rsidRPr="0087616B" w:rsidRDefault="0087616B" w:rsidP="008761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87616B" w:rsidRPr="0087616B" w:rsidRDefault="0087616B" w:rsidP="0087616B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    УТВЪРЖДАВА</w:t>
      </w:r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образци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бюлетини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провеждане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частични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Порой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23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октомври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2022 </w:t>
      </w:r>
      <w:proofErr w:type="spellStart"/>
      <w:proofErr w:type="gram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год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.,</w:t>
      </w:r>
      <w:proofErr w:type="gram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както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следва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</w:t>
      </w:r>
    </w:p>
    <w:p w:rsidR="0087616B" w:rsidRPr="0087616B" w:rsidRDefault="0087616B" w:rsidP="008761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Бюлетина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proofErr w:type="spellStart"/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кметство</w:t>
      </w:r>
      <w:proofErr w:type="spellEnd"/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Порой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Поморие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неразделна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настоящото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87616B" w:rsidRPr="0087616B" w:rsidRDefault="0087616B" w:rsidP="008761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87616B" w:rsidRPr="0087616B" w:rsidRDefault="0087616B" w:rsidP="008761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</w:pPr>
      <w:proofErr w:type="spellStart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>Бюлетините</w:t>
      </w:r>
      <w:proofErr w:type="spellEnd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>следва</w:t>
      </w:r>
      <w:proofErr w:type="spellEnd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>да</w:t>
      </w:r>
      <w:proofErr w:type="spellEnd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>се</w:t>
      </w:r>
      <w:proofErr w:type="spellEnd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>издадат</w:t>
      </w:r>
      <w:proofErr w:type="spellEnd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 xml:space="preserve"> в </w:t>
      </w:r>
      <w:proofErr w:type="spellStart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>тираж</w:t>
      </w:r>
      <w:proofErr w:type="spellEnd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 xml:space="preserve">, </w:t>
      </w:r>
      <w:proofErr w:type="spellStart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>както</w:t>
      </w:r>
      <w:proofErr w:type="spellEnd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>следва</w:t>
      </w:r>
      <w:proofErr w:type="spellEnd"/>
      <w:r w:rsidRPr="0087616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bg-BG"/>
        </w:rPr>
        <w:t xml:space="preserve">: </w:t>
      </w:r>
    </w:p>
    <w:p w:rsidR="0087616B" w:rsidRPr="0087616B" w:rsidRDefault="0087616B" w:rsidP="008761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tbl>
      <w:tblPr>
        <w:tblStyle w:val="a7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1134"/>
        <w:gridCol w:w="851"/>
        <w:gridCol w:w="1559"/>
        <w:gridCol w:w="992"/>
        <w:gridCol w:w="4253"/>
      </w:tblGrid>
      <w:tr w:rsidR="0087616B" w:rsidRPr="0087616B" w:rsidTr="00EC1F0D">
        <w:trPr>
          <w:trHeight w:val="974"/>
        </w:trPr>
        <w:tc>
          <w:tcPr>
            <w:tcW w:w="1560" w:type="dxa"/>
            <w:gridSpan w:val="2"/>
          </w:tcPr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b/>
                <w:color w:val="333333"/>
                <w:sz w:val="24"/>
                <w:szCs w:val="24"/>
              </w:rPr>
              <w:t>Област</w:t>
            </w:r>
          </w:p>
        </w:tc>
        <w:tc>
          <w:tcPr>
            <w:tcW w:w="1701" w:type="dxa"/>
            <w:gridSpan w:val="2"/>
          </w:tcPr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b/>
                <w:color w:val="333333"/>
                <w:sz w:val="24"/>
                <w:szCs w:val="24"/>
              </w:rPr>
              <w:t>Община</w:t>
            </w:r>
          </w:p>
        </w:tc>
        <w:tc>
          <w:tcPr>
            <w:tcW w:w="2410" w:type="dxa"/>
            <w:gridSpan w:val="2"/>
          </w:tcPr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b/>
                <w:color w:val="333333"/>
                <w:sz w:val="24"/>
                <w:szCs w:val="24"/>
              </w:rPr>
              <w:t>Населено място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b/>
                <w:color w:val="333333"/>
                <w:sz w:val="24"/>
                <w:szCs w:val="24"/>
              </w:rPr>
              <w:t>Брой избиратели</w:t>
            </w:r>
          </w:p>
        </w:tc>
        <w:tc>
          <w:tcPr>
            <w:tcW w:w="4253" w:type="dxa"/>
          </w:tcPr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b/>
                <w:color w:val="333333"/>
                <w:sz w:val="24"/>
                <w:szCs w:val="24"/>
              </w:rPr>
              <w:t>Предложение за тираж на бюлетини с предвиден 10% резерв.</w:t>
            </w:r>
          </w:p>
        </w:tc>
      </w:tr>
      <w:tr w:rsidR="0087616B" w:rsidRPr="0087616B" w:rsidTr="00EC1F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709" w:type="dxa"/>
          </w:tcPr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851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Име</w:t>
            </w:r>
          </w:p>
        </w:tc>
        <w:tc>
          <w:tcPr>
            <w:tcW w:w="567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Име</w:t>
            </w:r>
          </w:p>
        </w:tc>
        <w:tc>
          <w:tcPr>
            <w:tcW w:w="851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Име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Кмет на кметство</w:t>
            </w:r>
          </w:p>
        </w:tc>
      </w:tr>
      <w:tr w:rsidR="0087616B" w:rsidRPr="0087616B" w:rsidTr="00EC1F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709" w:type="dxa"/>
          </w:tcPr>
          <w:p w:rsidR="0087616B" w:rsidRPr="0087616B" w:rsidRDefault="0087616B" w:rsidP="00EC1F0D">
            <w:pPr>
              <w:spacing w:after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57790</w:t>
            </w:r>
          </w:p>
        </w:tc>
        <w:tc>
          <w:tcPr>
            <w:tcW w:w="1559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с. Порой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679</w:t>
            </w:r>
          </w:p>
        </w:tc>
        <w:tc>
          <w:tcPr>
            <w:tcW w:w="4253" w:type="dxa"/>
            <w:shd w:val="clear" w:color="auto" w:fill="auto"/>
          </w:tcPr>
          <w:p w:rsidR="0087616B" w:rsidRPr="0087616B" w:rsidRDefault="0087616B" w:rsidP="00EC1F0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616B">
              <w:rPr>
                <w:rFonts w:ascii="Arial" w:hAnsi="Arial" w:cs="Arial"/>
                <w:color w:val="333333"/>
                <w:sz w:val="24"/>
                <w:szCs w:val="24"/>
              </w:rPr>
              <w:t>68</w:t>
            </w:r>
          </w:p>
        </w:tc>
      </w:tr>
    </w:tbl>
    <w:p w:rsidR="0087616B" w:rsidRPr="0087616B" w:rsidRDefault="0087616B" w:rsidP="008761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87616B" w:rsidRPr="0087616B" w:rsidRDefault="0087616B" w:rsidP="008761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може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оспорва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Централната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избирателна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комисия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реда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чл.88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Изборния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кодекс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в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срок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три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дни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обявяването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му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87616B" w:rsidRPr="0087616B" w:rsidRDefault="0087616B" w:rsidP="008761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87616B" w:rsidRDefault="0087616B" w:rsidP="008761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C6BAE" w:rsidRDefault="00CC6BAE" w:rsidP="008761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C6BAE" w:rsidRDefault="00CC6BAE" w:rsidP="008761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7616B" w:rsidRDefault="0087616B" w:rsidP="008761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7616B" w:rsidRDefault="0087616B" w:rsidP="008761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7616B" w:rsidRDefault="0087616B" w:rsidP="008761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C6BAE" w:rsidRDefault="00CC6BAE" w:rsidP="008761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87616B" w:rsidRPr="0087616B" w:rsidRDefault="0087616B" w:rsidP="0087616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Приложение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№ 1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към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№10 </w:t>
      </w:r>
      <w:proofErr w:type="spell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05.10.2022 </w:t>
      </w:r>
      <w:proofErr w:type="gramStart"/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г.:</w:t>
      </w:r>
      <w:proofErr w:type="gramEnd"/>
    </w:p>
    <w:p w:rsidR="00556050" w:rsidRPr="0087616B" w:rsidRDefault="0087616B" w:rsidP="0087616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bg-BG" w:eastAsia="bg-BG"/>
        </w:rPr>
        <w:lastRenderedPageBreak/>
        <w:drawing>
          <wp:inline distT="0" distB="0" distL="0" distR="0">
            <wp:extent cx="4112260" cy="8229600"/>
            <wp:effectExtent l="0" t="0" r="254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теглен фай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2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lastRenderedPageBreak/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3"/>
    <w:rsid w:val="00016505"/>
    <w:rsid w:val="000474FB"/>
    <w:rsid w:val="000C762B"/>
    <w:rsid w:val="000E50E0"/>
    <w:rsid w:val="00194E76"/>
    <w:rsid w:val="00331FD9"/>
    <w:rsid w:val="00332FBD"/>
    <w:rsid w:val="00346346"/>
    <w:rsid w:val="004A2373"/>
    <w:rsid w:val="004C7B70"/>
    <w:rsid w:val="00556050"/>
    <w:rsid w:val="00575343"/>
    <w:rsid w:val="00647501"/>
    <w:rsid w:val="006E5EDF"/>
    <w:rsid w:val="00700E94"/>
    <w:rsid w:val="007039B2"/>
    <w:rsid w:val="007F4180"/>
    <w:rsid w:val="0087616B"/>
    <w:rsid w:val="008E22DF"/>
    <w:rsid w:val="009E18DD"/>
    <w:rsid w:val="00A000BD"/>
    <w:rsid w:val="00A46BAE"/>
    <w:rsid w:val="00BC382B"/>
    <w:rsid w:val="00C70B70"/>
    <w:rsid w:val="00CC6BAE"/>
    <w:rsid w:val="00D00033"/>
    <w:rsid w:val="00D7511A"/>
    <w:rsid w:val="00D80505"/>
    <w:rsid w:val="00E47C99"/>
    <w:rsid w:val="00F020D9"/>
    <w:rsid w:val="00F05B42"/>
    <w:rsid w:val="00F20060"/>
    <w:rsid w:val="00F30386"/>
    <w:rsid w:val="00F30AF1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BC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382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474FB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2022-10-05T11:39:00Z</cp:lastPrinted>
  <dcterms:created xsi:type="dcterms:W3CDTF">2022-10-05T11:32:00Z</dcterms:created>
  <dcterms:modified xsi:type="dcterms:W3CDTF">2022-10-05T11:40:00Z</dcterms:modified>
</cp:coreProperties>
</file>